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B8" w:rsidRPr="00B93213" w:rsidRDefault="00C07CB8" w:rsidP="00C07CB8">
      <w:pPr>
        <w:spacing w:before="74"/>
        <w:jc w:val="center"/>
        <w:rPr>
          <w:rFonts w:ascii="Century Gothic" w:hAnsi="Century Gothic"/>
          <w:b/>
        </w:rPr>
      </w:pPr>
      <w:r w:rsidRPr="00B93213">
        <w:rPr>
          <w:rFonts w:ascii="Century Gothic" w:hAnsi="Century Gothic"/>
          <w:b/>
        </w:rPr>
        <w:t xml:space="preserve">SUBASTA PÚBLICA N° 001-2024 - PRIMERA CONVOCATORIA </w:t>
      </w:r>
    </w:p>
    <w:p w:rsidR="00C07CB8" w:rsidRPr="00B93213" w:rsidRDefault="00C07CB8" w:rsidP="00C07CB8">
      <w:pPr>
        <w:spacing w:before="74"/>
        <w:jc w:val="center"/>
        <w:rPr>
          <w:rFonts w:ascii="Century Gothic" w:hAnsi="Century Gothic"/>
          <w:b/>
          <w:sz w:val="18"/>
          <w:szCs w:val="18"/>
        </w:rPr>
      </w:pPr>
      <w:r w:rsidRPr="00B93213">
        <w:rPr>
          <w:rFonts w:ascii="Century Gothic" w:hAnsi="Century Gothic"/>
          <w:b/>
          <w:sz w:val="18"/>
          <w:szCs w:val="18"/>
        </w:rPr>
        <w:t>COMPRA VENTA DE CUARENTA Y CUATRO (44) UNIDADES VEHICULARES (01AUTO, 01 CAMIONETA, 01 CAMION CISTERNA Y 41 MOTOCICLETAS)</w:t>
      </w:r>
    </w:p>
    <w:p w:rsidR="003D0E6A" w:rsidRPr="00B93213" w:rsidRDefault="003D0E6A" w:rsidP="003D0E6A">
      <w:pPr>
        <w:spacing w:before="74"/>
        <w:jc w:val="center"/>
        <w:rPr>
          <w:rFonts w:ascii="Century Gothic" w:hAnsi="Century Gothic"/>
          <w:b/>
          <w:sz w:val="18"/>
          <w:szCs w:val="18"/>
        </w:rPr>
      </w:pPr>
    </w:p>
    <w:p w:rsidR="00C07CB8" w:rsidRDefault="00C07CB8">
      <w:pPr>
        <w:rPr>
          <w:rFonts w:ascii="Century Gothic" w:hAnsi="Century Gothic" w:cs="Arial"/>
          <w:b/>
        </w:rPr>
      </w:pPr>
    </w:p>
    <w:p w:rsidR="006154CE" w:rsidRDefault="003D0E6A">
      <w:pPr>
        <w:rPr>
          <w:rFonts w:ascii="Century Gothic" w:hAnsi="Century Gothic" w:cs="Arial"/>
          <w:b/>
        </w:rPr>
      </w:pPr>
      <w:r w:rsidRPr="003D0E6A">
        <w:rPr>
          <w:rFonts w:ascii="Century Gothic" w:hAnsi="Century Gothic" w:cs="Arial"/>
          <w:b/>
        </w:rPr>
        <w:t>CRONOGRAMA DE SUBASTA PÚBLICA</w:t>
      </w:r>
    </w:p>
    <w:p w:rsidR="003D0E6A" w:rsidRDefault="003D0E6A">
      <w:pPr>
        <w:rPr>
          <w:rFonts w:ascii="Century Gothic" w:hAnsi="Century Gothic" w:cs="Arial"/>
          <w:b/>
          <w:sz w:val="20"/>
          <w:szCs w:val="20"/>
        </w:rPr>
      </w:pPr>
    </w:p>
    <w:tbl>
      <w:tblPr>
        <w:tblpPr w:leftFromText="141" w:rightFromText="141" w:vertAnchor="page" w:horzAnchor="margin" w:tblpY="4831"/>
        <w:tblOverlap w:val="never"/>
        <w:tblW w:w="9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1551"/>
        <w:gridCol w:w="5827"/>
      </w:tblGrid>
      <w:tr w:rsidR="00C07CB8" w:rsidRPr="00A339F7" w:rsidDel="00047236" w:rsidTr="00C07CB8">
        <w:trPr>
          <w:trHeight w:val="32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CB8" w:rsidRPr="00A339F7" w:rsidDel="00047236" w:rsidRDefault="00C07CB8" w:rsidP="00C07CB8">
            <w:pPr>
              <w:ind w:left="725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eastAsia="es-PE"/>
              </w:rPr>
              <w:t>ETAPAS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eastAsia="es-PE"/>
              </w:rPr>
              <w:t>FECHAS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eastAsia="es-PE"/>
              </w:rPr>
              <w:t>LUGAR Y HORA O MEDIO DE DIFUSIÓN</w:t>
            </w:r>
          </w:p>
        </w:tc>
      </w:tr>
      <w:tr w:rsidR="00C07CB8" w:rsidRPr="00A339F7" w:rsidDel="00047236" w:rsidTr="00C07CB8">
        <w:trPr>
          <w:trHeight w:val="73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Convocatoria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24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 de 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mayo</w:t>
            </w:r>
            <w:r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 de 202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8" w:rsidRPr="00A339F7" w:rsidDel="00047236" w:rsidRDefault="00C07CB8" w:rsidP="00C07CB8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Publicación en la página web de la Municipalidad Distrital de Miraflores: </w:t>
            </w:r>
            <w:hyperlink r:id="rId6" w:history="1">
              <w:r w:rsidRPr="003A66CA" w:rsidDel="00047236">
                <w:rPr>
                  <w:rStyle w:val="Hipervnculo"/>
                  <w:rFonts w:ascii="Century Gothic" w:hAnsi="Century Gothic"/>
                  <w:sz w:val="14"/>
                  <w:szCs w:val="14"/>
                  <w:lang w:eastAsia="es-PE"/>
                </w:rPr>
                <w:t>www.miraflores.gob.pe</w:t>
              </w:r>
            </w:hyperlink>
          </w:p>
        </w:tc>
      </w:tr>
      <w:tr w:rsidR="00C07CB8" w:rsidRPr="00A339F7" w:rsidDel="00047236" w:rsidTr="00C07CB8">
        <w:trPr>
          <w:trHeight w:val="89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Pago y registro de participantes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 27 y 28 de mayo 2024.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8" w:rsidRDefault="00C07CB8" w:rsidP="00C07CB8">
            <w:pPr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Lugar de pago</w:t>
            </w:r>
            <w:r w:rsidDel="00047236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:</w:t>
            </w:r>
            <w:r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 xml:space="preserve"> </w:t>
            </w:r>
            <w:r w:rsidRPr="000651C0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Caja de la Municipalidad de Miraflores</w:t>
            </w:r>
            <w:r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 xml:space="preserve">,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sito en Av.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José A. Larco N° 77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0,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primer piso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, Miraflores.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De 08.00 a 16: 00 </w:t>
            </w:r>
            <w:r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horas,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pago único.</w:t>
            </w:r>
          </w:p>
          <w:p w:rsidR="00C07CB8" w:rsidRDefault="00C07CB8" w:rsidP="00C07CB8">
            <w:pPr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</w:pPr>
          </w:p>
          <w:p w:rsidR="00C07CB8" w:rsidRPr="00A339F7" w:rsidDel="00047236" w:rsidRDefault="00C07CB8" w:rsidP="00C07CB8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49377A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Registro: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Oficina de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Control Patrimonial, sito en Calle Tarata Nº 160, piso 11, Miraflores. 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>De 08:00 a 1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6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:00 </w:t>
            </w:r>
            <w:r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horas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</w:t>
            </w:r>
          </w:p>
        </w:tc>
      </w:tr>
      <w:tr w:rsidR="00C07CB8" w:rsidRPr="00A339F7" w:rsidDel="00047236" w:rsidTr="00C07CB8">
        <w:trPr>
          <w:trHeight w:val="623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>Exhibición de lotes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Desde el 28 al 31 de mayo 2024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8" w:rsidRDefault="00C07CB8" w:rsidP="00C07CB8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Lugar de exhibición</w:t>
            </w:r>
            <w:r w:rsidDel="00047236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: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</w:t>
            </w:r>
            <w:r w:rsidDel="00047236">
              <w:rPr>
                <w:rFonts w:ascii="Century Gothic" w:hAnsi="Century Gothic"/>
                <w:sz w:val="14"/>
                <w:szCs w:val="14"/>
              </w:rPr>
              <w:t>Local municipal, sito Av. Angamos Este N° 1850- Surquillo</w:t>
            </w:r>
            <w:r w:rsidRPr="00A339F7" w:rsidDel="00047236">
              <w:rPr>
                <w:rFonts w:ascii="Century Gothic" w:hAnsi="Century Gothic"/>
                <w:sz w:val="14"/>
                <w:szCs w:val="14"/>
              </w:rPr>
              <w:t xml:space="preserve">, </w:t>
            </w:r>
            <w:r w:rsidDel="00047236">
              <w:rPr>
                <w:rFonts w:ascii="Century Gothic" w:hAnsi="Century Gothic"/>
                <w:sz w:val="14"/>
                <w:szCs w:val="14"/>
              </w:rPr>
              <w:t>en el siguiente horario de 09: 00 hasta 15: 00 horas.</w:t>
            </w:r>
          </w:p>
          <w:p w:rsidR="00C07CB8" w:rsidRDefault="00C07CB8" w:rsidP="00C07CB8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A961B3">
              <w:rPr>
                <w:rFonts w:ascii="Century Gothic" w:hAnsi="Century Gothic"/>
                <w:sz w:val="14"/>
                <w:szCs w:val="14"/>
              </w:rPr>
              <w:t>Para la exhibición en forma presencial el postor previamente coordinara la visita al teléfono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fijo </w:t>
            </w:r>
            <w:r w:rsidRPr="00D63D82">
              <w:rPr>
                <w:rFonts w:ascii="Century Gothic" w:hAnsi="Century Gothic"/>
                <w:sz w:val="14"/>
                <w:szCs w:val="14"/>
              </w:rPr>
              <w:t>01</w:t>
            </w:r>
            <w:r w:rsidRPr="00A961B3">
              <w:rPr>
                <w:rFonts w:ascii="Century Gothic" w:hAnsi="Century Gothic"/>
                <w:sz w:val="14"/>
                <w:szCs w:val="14"/>
              </w:rPr>
              <w:t>6177</w:t>
            </w:r>
            <w:r>
              <w:rPr>
                <w:rFonts w:ascii="Century Gothic" w:hAnsi="Century Gothic"/>
                <w:sz w:val="14"/>
                <w:szCs w:val="14"/>
              </w:rPr>
              <w:t>3</w:t>
            </w:r>
            <w:r w:rsidRPr="00A961B3">
              <w:rPr>
                <w:rFonts w:ascii="Century Gothic" w:hAnsi="Century Gothic"/>
                <w:sz w:val="14"/>
                <w:szCs w:val="14"/>
              </w:rPr>
              <w:t>42</w:t>
            </w:r>
            <w:r w:rsidRPr="006B44BE">
              <w:rPr>
                <w:rFonts w:ascii="Century Gothic" w:hAnsi="Century Gothic"/>
                <w:sz w:val="14"/>
                <w:szCs w:val="14"/>
              </w:rPr>
              <w:t>,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o mediante el </w:t>
            </w:r>
            <w:r w:rsidRPr="006B44BE">
              <w:rPr>
                <w:rFonts w:ascii="Century Gothic" w:hAnsi="Century Gothic"/>
                <w:sz w:val="14"/>
                <w:szCs w:val="14"/>
              </w:rPr>
              <w:t>correo electrónico</w:t>
            </w:r>
            <w:r>
              <w:rPr>
                <w:rFonts w:ascii="Century Gothic" w:hAnsi="Century Gothic"/>
                <w:sz w:val="14"/>
                <w:szCs w:val="14"/>
              </w:rPr>
              <w:t>: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</w:t>
            </w:r>
            <w:r>
              <w:rPr>
                <w:rFonts w:ascii="Century Gothic" w:hAnsi="Century Gothic"/>
                <w:color w:val="0000FF"/>
                <w:sz w:val="14"/>
                <w:szCs w:val="14"/>
                <w:u w:val="single"/>
                <w:lang w:eastAsia="es-PE"/>
              </w:rPr>
              <w:t>subastas.publicas</w:t>
            </w:r>
            <w:hyperlink r:id="rId7" w:history="1">
              <w:r w:rsidRPr="00EC212B" w:rsidDel="00047236">
                <w:rPr>
                  <w:rStyle w:val="Hipervnculo"/>
                  <w:rFonts w:ascii="Century Gothic" w:hAnsi="Century Gothic"/>
                  <w:sz w:val="14"/>
                  <w:szCs w:val="14"/>
                  <w:lang w:eastAsia="es-PE"/>
                </w:rPr>
                <w:t>@miraflores.gob.pe</w:t>
              </w:r>
            </w:hyperlink>
            <w:r>
              <w:rPr>
                <w:rStyle w:val="Hipervnculo"/>
                <w:rFonts w:ascii="Century Gothic" w:hAnsi="Century Gothic"/>
                <w:sz w:val="14"/>
                <w:szCs w:val="14"/>
                <w:lang w:eastAsia="es-PE"/>
              </w:rPr>
              <w:t>.</w:t>
            </w:r>
          </w:p>
          <w:p w:rsidR="00C07CB8" w:rsidRPr="00A339F7" w:rsidDel="00047236" w:rsidRDefault="00C07CB8" w:rsidP="00C07CB8">
            <w:pPr>
              <w:jc w:val="both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</w:p>
        </w:tc>
      </w:tr>
      <w:tr w:rsidR="00C07CB8" w:rsidRPr="00A339F7" w:rsidDel="00047236" w:rsidTr="00C07CB8">
        <w:trPr>
          <w:trHeight w:val="623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Presentación de consultas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29 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de 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mayo de 2024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B8" w:rsidRPr="00A339F7" w:rsidDel="00047236" w:rsidRDefault="00C07CB8" w:rsidP="00C07CB8">
            <w:pPr>
              <w:rPr>
                <w:rFonts w:ascii="Century Gothic" w:hAnsi="Century Gothic"/>
                <w:color w:val="000000"/>
                <w:sz w:val="14"/>
                <w:szCs w:val="14"/>
                <w:highlight w:val="yellow"/>
                <w:lang w:eastAsia="es-PE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Al c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orreo electrónico: </w:t>
            </w:r>
            <w:r>
              <w:rPr>
                <w:rFonts w:ascii="Century Gothic" w:hAnsi="Century Gothic"/>
                <w:color w:val="0000FF"/>
                <w:sz w:val="14"/>
                <w:szCs w:val="14"/>
                <w:u w:val="single"/>
                <w:lang w:eastAsia="es-PE"/>
              </w:rPr>
              <w:t>subastas.publicas</w:t>
            </w:r>
            <w:hyperlink r:id="rId8" w:history="1">
              <w:r w:rsidRPr="00EC212B" w:rsidDel="00047236">
                <w:rPr>
                  <w:rStyle w:val="Hipervnculo"/>
                  <w:rFonts w:ascii="Century Gothic" w:hAnsi="Century Gothic"/>
                  <w:sz w:val="14"/>
                  <w:szCs w:val="14"/>
                  <w:lang w:eastAsia="es-PE"/>
                </w:rPr>
                <w:t>@miraflores.gob.pe</w:t>
              </w:r>
            </w:hyperlink>
            <w:r w:rsidDel="00047236">
              <w:rPr>
                <w:rStyle w:val="Hipervnculo"/>
                <w:rFonts w:ascii="Century Gothic" w:hAnsi="Century Gothic"/>
                <w:sz w:val="14"/>
                <w:szCs w:val="14"/>
                <w:lang w:eastAsia="es-PE"/>
              </w:rPr>
              <w:t xml:space="preserve">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desde 08:00 a 23.59 horas.</w:t>
            </w:r>
          </w:p>
        </w:tc>
      </w:tr>
      <w:tr w:rsidR="00C07CB8" w:rsidRPr="00A339F7" w:rsidDel="00047236" w:rsidTr="00C07CB8">
        <w:trPr>
          <w:trHeight w:val="623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Absolución de consultas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30 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de </w:t>
            </w:r>
            <w:r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>ma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yo de 2024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B8" w:rsidRPr="00A339F7" w:rsidDel="00047236" w:rsidRDefault="00C07CB8" w:rsidP="00C07CB8">
            <w:pPr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Se publicará el pliego absolutorio de consultas en la página web de la entidad: </w:t>
            </w:r>
            <w:r w:rsidRPr="007A2F84">
              <w:rPr>
                <w:rFonts w:ascii="Century Gothic" w:hAnsi="Century Gothic"/>
                <w:color w:val="0000FF"/>
                <w:sz w:val="14"/>
                <w:szCs w:val="14"/>
                <w:u w:val="single"/>
                <w:lang w:eastAsia="es-PE"/>
              </w:rPr>
              <w:t>www.miraflores.gob.pe</w:t>
            </w:r>
          </w:p>
        </w:tc>
      </w:tr>
      <w:tr w:rsidR="00C07CB8" w:rsidRPr="00A339F7" w:rsidDel="00047236" w:rsidTr="00C07CB8">
        <w:trPr>
          <w:trHeight w:val="75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>Integración de las bases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31 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de </w:t>
            </w:r>
            <w:r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>ma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yo de 2024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8" w:rsidRPr="00A339F7" w:rsidDel="00047236" w:rsidRDefault="00C07CB8" w:rsidP="00C07CB8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Se publicará las bases integradas en la página web de la entidad: </w:t>
            </w:r>
            <w:r w:rsidRPr="007A2F84">
              <w:rPr>
                <w:rFonts w:ascii="Century Gothic" w:hAnsi="Century Gothic"/>
                <w:color w:val="0000FF"/>
                <w:sz w:val="14"/>
                <w:szCs w:val="14"/>
                <w:u w:val="single"/>
                <w:lang w:eastAsia="es-PE"/>
              </w:rPr>
              <w:t>www.miraflores.gob.pe</w:t>
            </w:r>
          </w:p>
        </w:tc>
      </w:tr>
      <w:tr w:rsidR="00C07CB8" w:rsidRPr="00A339F7" w:rsidDel="00047236" w:rsidTr="00C07CB8">
        <w:trPr>
          <w:trHeight w:val="61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Acto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público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de Subasta Pública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y presentación de propuestas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05 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de 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junio de </w:t>
            </w:r>
            <w:r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>202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8" w:rsidRPr="00A339F7" w:rsidDel="00047236" w:rsidRDefault="00C07CB8" w:rsidP="00C07CB8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Auditorio Municipal del Centro Cultural Ricardo Palma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sito en Av. Larco N°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770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, piso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1, Miraflores. A las 16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:00 </w:t>
            </w:r>
            <w:r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horas, </w:t>
            </w:r>
          </w:p>
        </w:tc>
      </w:tr>
      <w:tr w:rsidR="00C07CB8" w:rsidRPr="00A339F7" w:rsidDel="00047236" w:rsidTr="00C07CB8">
        <w:trPr>
          <w:trHeight w:val="75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Cancelación de los lotes adjudicados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10 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de 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junio de 2024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B8" w:rsidRDefault="00C07CB8" w:rsidP="00C07CB8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Modalidad de pago p</w:t>
            </w:r>
            <w:r w:rsidDel="00047236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resencial: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Mediante cheque de gerencia a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Caja de la Municipalidad, sito en Av. José A. Larco Nº 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770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, primer piso, Miraflores. </w:t>
            </w:r>
          </w:p>
          <w:p w:rsidR="00C07CB8" w:rsidRDefault="00C07CB8" w:rsidP="00C07CB8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BE3C68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Horario: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De 08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>:00 a 1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6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:00 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horas.</w:t>
            </w:r>
          </w:p>
          <w:p w:rsidR="00C07CB8" w:rsidDel="00047236" w:rsidRDefault="00C07CB8" w:rsidP="00C07CB8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</w:p>
          <w:p w:rsidR="00C07CB8" w:rsidRPr="00E92EE2" w:rsidRDefault="00C07CB8" w:rsidP="00C07CB8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E92EE2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 xml:space="preserve">Modalidad de pago </w:t>
            </w:r>
            <w:r w:rsidRPr="00E92EE2" w:rsidDel="00047236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Virtual:</w:t>
            </w:r>
            <w:r w:rsidRPr="00E92EE2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 vía transferencia </w:t>
            </w:r>
            <w:r w:rsidRPr="00E92EE2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bancaria o interbancaria </w:t>
            </w:r>
          </w:p>
          <w:p w:rsidR="00C07CB8" w:rsidRPr="00E92EE2" w:rsidRDefault="00C07CB8" w:rsidP="00C07CB8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E92EE2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la cancelación de los lotes adjudicados se efectuará a la Cuenta Corriente: </w:t>
            </w:r>
          </w:p>
          <w:p w:rsidR="00C07CB8" w:rsidRPr="00E92EE2" w:rsidRDefault="00C07CB8" w:rsidP="00C07CB8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E92EE2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011-117-01-00005294 </w:t>
            </w:r>
          </w:p>
          <w:p w:rsidR="00C07CB8" w:rsidRPr="00E92EE2" w:rsidRDefault="00C07CB8" w:rsidP="00C07CB8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E92EE2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Código </w:t>
            </w:r>
            <w:r w:rsidRPr="00E92EE2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interbancari</w:t>
            </w:r>
            <w:r w:rsidRPr="00E92EE2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o: 011-117-00010000529492 del BBVA.</w:t>
            </w:r>
          </w:p>
          <w:p w:rsidR="00C07CB8" w:rsidRPr="00A339F7" w:rsidDel="00047236" w:rsidRDefault="00C07CB8" w:rsidP="00C07CB8">
            <w:pP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E92EE2">
              <w:rPr>
                <w:rFonts w:ascii="Century Gothic" w:hAnsi="Century Gothic"/>
                <w:b/>
                <w:color w:val="000000"/>
                <w:sz w:val="14"/>
                <w:szCs w:val="14"/>
                <w:lang w:eastAsia="es-PE"/>
              </w:rPr>
              <w:t>Nota:</w:t>
            </w:r>
            <w:r w:rsidRPr="00E92EE2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Una vez cancelado en forma virtual remitir la constancia de la transferencia al correo electrónico:</w:t>
            </w:r>
            <w:r w:rsidRPr="00E92EE2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</w:t>
            </w:r>
            <w:r w:rsidRPr="00E92EE2">
              <w:rPr>
                <w:rFonts w:ascii="Century Gothic" w:hAnsi="Century Gothic"/>
                <w:color w:val="0000FF"/>
                <w:sz w:val="14"/>
                <w:szCs w:val="14"/>
                <w:u w:val="single"/>
                <w:lang w:eastAsia="es-PE"/>
              </w:rPr>
              <w:t>subastas.publicas</w:t>
            </w:r>
            <w:hyperlink r:id="rId9" w:history="1">
              <w:r w:rsidRPr="00E92EE2" w:rsidDel="00047236">
                <w:rPr>
                  <w:rStyle w:val="Hipervnculo"/>
                  <w:rFonts w:ascii="Century Gothic" w:hAnsi="Century Gothic"/>
                  <w:sz w:val="14"/>
                  <w:szCs w:val="14"/>
                  <w:lang w:eastAsia="es-PE"/>
                </w:rPr>
                <w:t>@miraflores.gob.pe</w:t>
              </w:r>
            </w:hyperlink>
          </w:p>
        </w:tc>
      </w:tr>
      <w:tr w:rsidR="00C07CB8" w:rsidRPr="00A339F7" w:rsidDel="00047236" w:rsidTr="00C07CB8">
        <w:trPr>
          <w:trHeight w:val="102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Entrega de los lotes y suscripción de</w:t>
            </w:r>
          </w:p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Acta de Entrega - Recepción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B8" w:rsidRPr="00A339F7" w:rsidDel="00047236" w:rsidRDefault="00C07CB8" w:rsidP="00C07CB8">
            <w:pPr>
              <w:jc w:val="center"/>
              <w:rPr>
                <w:rFonts w:ascii="Century Gothic" w:hAnsi="Century Gothic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10 </w:t>
            </w:r>
            <w:r w:rsidRPr="00A339F7" w:rsidDel="00047236">
              <w:rPr>
                <w:rFonts w:ascii="Century Gothic" w:hAnsi="Century Gothic"/>
                <w:sz w:val="14"/>
                <w:szCs w:val="14"/>
                <w:lang w:eastAsia="es-PE"/>
              </w:rPr>
              <w:t xml:space="preserve">de </w:t>
            </w:r>
            <w:r>
              <w:rPr>
                <w:rFonts w:ascii="Century Gothic" w:hAnsi="Century Gothic"/>
                <w:sz w:val="14"/>
                <w:szCs w:val="14"/>
                <w:lang w:eastAsia="es-PE"/>
              </w:rPr>
              <w:t>junio de 2024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8" w:rsidRDefault="00C07CB8" w:rsidP="00C07CB8">
            <w:pPr>
              <w:jc w:val="both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Firma del Acta de entrega y recepción en Calle Tarata N° 160 piso 11</w:t>
            </w: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.</w:t>
            </w:r>
          </w:p>
          <w:p w:rsidR="00C07CB8" w:rsidRPr="00A339F7" w:rsidDel="00047236" w:rsidRDefault="00C07CB8" w:rsidP="00C07CB8">
            <w:pPr>
              <w:jc w:val="both"/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E</w:t>
            </w:r>
            <w:r w:rsidRPr="00A339F7"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>ntrega de lotes adjudicados</w:t>
            </w:r>
            <w:r w:rsidDel="00047236">
              <w:rPr>
                <w:rFonts w:ascii="Century Gothic" w:hAnsi="Century Gothic"/>
                <w:color w:val="000000"/>
                <w:sz w:val="14"/>
                <w:szCs w:val="14"/>
                <w:lang w:eastAsia="es-PE"/>
              </w:rPr>
              <w:t xml:space="preserve"> en: local municipal Av. Angamos Nº 1850, Surquillo</w:t>
            </w:r>
            <w:r w:rsidRPr="00A339F7" w:rsidDel="00047236">
              <w:rPr>
                <w:rFonts w:ascii="Century Gothic" w:hAnsi="Century Gothic"/>
                <w:sz w:val="14"/>
                <w:szCs w:val="14"/>
              </w:rPr>
              <w:t>, d</w:t>
            </w:r>
            <w:r w:rsidDel="00047236">
              <w:rPr>
                <w:rFonts w:ascii="Century Gothic" w:hAnsi="Century Gothic"/>
                <w:sz w:val="14"/>
                <w:szCs w:val="14"/>
              </w:rPr>
              <w:t>esde las 9:00 hasta 12.00 horas y 14.00 hasta 1</w:t>
            </w:r>
            <w:r>
              <w:rPr>
                <w:rFonts w:ascii="Century Gothic" w:hAnsi="Century Gothic"/>
                <w:sz w:val="14"/>
                <w:szCs w:val="14"/>
              </w:rPr>
              <w:t>5</w:t>
            </w:r>
            <w:r w:rsidDel="00047236">
              <w:rPr>
                <w:rFonts w:ascii="Century Gothic" w:hAnsi="Century Gothic"/>
                <w:sz w:val="14"/>
                <w:szCs w:val="14"/>
              </w:rPr>
              <w:t>: 00 horas.</w:t>
            </w:r>
          </w:p>
        </w:tc>
      </w:tr>
    </w:tbl>
    <w:p w:rsidR="003D0E6A" w:rsidRDefault="003D0E6A">
      <w:pPr>
        <w:rPr>
          <w:rFonts w:ascii="Century Gothic" w:hAnsi="Century Gothic" w:cs="Arial"/>
          <w:b/>
          <w:sz w:val="20"/>
          <w:szCs w:val="20"/>
        </w:rPr>
      </w:pPr>
    </w:p>
    <w:p w:rsidR="00C07CB8" w:rsidRDefault="00C07CB8">
      <w:pPr>
        <w:rPr>
          <w:rFonts w:ascii="Century Gothic" w:hAnsi="Century Gothic" w:cs="Arial"/>
          <w:b/>
          <w:sz w:val="20"/>
          <w:szCs w:val="20"/>
        </w:rPr>
      </w:pPr>
    </w:p>
    <w:p w:rsidR="00C07CB8" w:rsidRDefault="00C07CB8">
      <w:pPr>
        <w:rPr>
          <w:rFonts w:ascii="Century Gothic" w:hAnsi="Century Gothic" w:cs="Arial"/>
          <w:b/>
          <w:sz w:val="20"/>
          <w:szCs w:val="20"/>
        </w:rPr>
      </w:pPr>
    </w:p>
    <w:p w:rsidR="00C07CB8" w:rsidRDefault="00C07CB8">
      <w:pPr>
        <w:rPr>
          <w:rFonts w:ascii="Century Gothic" w:hAnsi="Century Gothic" w:cs="Arial"/>
          <w:b/>
          <w:sz w:val="20"/>
          <w:szCs w:val="20"/>
        </w:rPr>
      </w:pPr>
    </w:p>
    <w:p w:rsidR="00C07CB8" w:rsidRDefault="00C07CB8">
      <w:pPr>
        <w:rPr>
          <w:rFonts w:ascii="Century Gothic" w:hAnsi="Century Gothic" w:cs="Arial"/>
          <w:b/>
          <w:sz w:val="20"/>
          <w:szCs w:val="20"/>
        </w:rPr>
      </w:pPr>
    </w:p>
    <w:p w:rsidR="003D0E6A" w:rsidRDefault="003D0E6A" w:rsidP="003D0E6A">
      <w:pPr>
        <w:ind w:left="3540" w:firstLine="708"/>
        <w:rPr>
          <w:rFonts w:ascii="Century Gothic" w:hAnsi="Century Gothic" w:cs="Arial"/>
          <w:b/>
          <w:sz w:val="20"/>
          <w:szCs w:val="20"/>
        </w:rPr>
      </w:pPr>
    </w:p>
    <w:p w:rsidR="003D0E6A" w:rsidRPr="003D0E6A" w:rsidRDefault="003D0E6A" w:rsidP="003D0E6A">
      <w:pPr>
        <w:ind w:left="4956" w:firstLine="708"/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  <w:r w:rsidRPr="003D0E6A">
        <w:rPr>
          <w:rFonts w:ascii="Century Gothic" w:hAnsi="Century Gothic" w:cs="Arial"/>
          <w:b/>
          <w:sz w:val="20"/>
          <w:szCs w:val="20"/>
        </w:rPr>
        <w:t>LA MESA DIRECTIVA</w:t>
      </w:r>
    </w:p>
    <w:sectPr w:rsidR="003D0E6A" w:rsidRPr="003D0E6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4E" w:rsidRDefault="0075474E" w:rsidP="003D0E6A">
      <w:r>
        <w:separator/>
      </w:r>
    </w:p>
  </w:endnote>
  <w:endnote w:type="continuationSeparator" w:id="0">
    <w:p w:rsidR="0075474E" w:rsidRDefault="0075474E" w:rsidP="003D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4E" w:rsidRDefault="0075474E" w:rsidP="003D0E6A">
      <w:r>
        <w:separator/>
      </w:r>
    </w:p>
  </w:footnote>
  <w:footnote w:type="continuationSeparator" w:id="0">
    <w:p w:rsidR="0075474E" w:rsidRDefault="0075474E" w:rsidP="003D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6A" w:rsidRDefault="003D0E6A" w:rsidP="003D0E6A">
    <w:pPr>
      <w:pStyle w:val="Encabezado"/>
      <w:ind w:left="708" w:hanging="708"/>
      <w:jc w:val="center"/>
      <w:rPr>
        <w:rFonts w:ascii="Arial" w:hAnsi="Arial" w:cs="Arial"/>
        <w:i/>
        <w:sz w:val="16"/>
        <w:szCs w:val="16"/>
      </w:rPr>
    </w:pPr>
  </w:p>
  <w:p w:rsidR="003D0E6A" w:rsidRDefault="003D0E6A" w:rsidP="003D0E6A">
    <w:pPr>
      <w:pStyle w:val="Encabezado"/>
      <w:ind w:left="708" w:hanging="708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“</w:t>
    </w:r>
    <w:r w:rsidRPr="00073173">
      <w:rPr>
        <w:rFonts w:ascii="Arial" w:hAnsi="Arial" w:cs="Arial"/>
        <w:i/>
        <w:sz w:val="16"/>
        <w:szCs w:val="16"/>
      </w:rPr>
      <w:t xml:space="preserve">Año del Bicentenario, de la consolidación de nuestra Independencia, y de la conmemoración de las heroicas </w:t>
    </w:r>
  </w:p>
  <w:p w:rsidR="003D0E6A" w:rsidRPr="00073173" w:rsidRDefault="003D0E6A" w:rsidP="003D0E6A">
    <w:pPr>
      <w:pStyle w:val="Encabezado"/>
      <w:ind w:left="708" w:hanging="708"/>
      <w:jc w:val="center"/>
      <w:rPr>
        <w:rFonts w:ascii="Arial" w:hAnsi="Arial" w:cs="Arial"/>
        <w:i/>
        <w:sz w:val="16"/>
        <w:szCs w:val="16"/>
      </w:rPr>
    </w:pPr>
    <w:r w:rsidRPr="00073173">
      <w:rPr>
        <w:rFonts w:ascii="Arial" w:hAnsi="Arial" w:cs="Arial"/>
        <w:i/>
        <w:sz w:val="16"/>
        <w:szCs w:val="16"/>
      </w:rPr>
      <w:t>batallas de Junín y Ayacucho”</w:t>
    </w:r>
  </w:p>
  <w:p w:rsidR="003D0E6A" w:rsidRDefault="003D0E6A" w:rsidP="003D0E6A">
    <w:pPr>
      <w:jc w:val="center"/>
    </w:pPr>
    <w:r w:rsidRPr="00C2456C">
      <w:rPr>
        <w:rFonts w:ascii="Century Gothic" w:hAnsi="Century Gothic" w:cstheme="minorHAnsi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0" locked="0" layoutInCell="1" allowOverlap="1" wp14:anchorId="1E43DBA5" wp14:editId="2C4E02B6">
          <wp:simplePos x="0" y="0"/>
          <wp:positionH relativeFrom="leftMargin">
            <wp:posOffset>723900</wp:posOffset>
          </wp:positionH>
          <wp:positionV relativeFrom="paragraph">
            <wp:posOffset>93345</wp:posOffset>
          </wp:positionV>
          <wp:extent cx="866775" cy="753110"/>
          <wp:effectExtent l="0" t="0" r="9525" b="8890"/>
          <wp:wrapNone/>
          <wp:docPr id="23" name="Imagen 23" descr="F:\♥ 2021\LOGO BICENTENARIO Y ESCUDO  - 2021 ♥\ESCUDO-MIRAFLORES-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♥ 2021\LOGO BICENTENARIO Y ESCUDO  - 2021 ♥\ESCUDO-MIRAFLORES-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47CADBAE" wp14:editId="4C5A7AB3">
          <wp:simplePos x="0" y="0"/>
          <wp:positionH relativeFrom="margin">
            <wp:posOffset>4797155</wp:posOffset>
          </wp:positionH>
          <wp:positionV relativeFrom="paragraph">
            <wp:posOffset>77470</wp:posOffset>
          </wp:positionV>
          <wp:extent cx="1041400" cy="741940"/>
          <wp:effectExtent l="0" t="0" r="6350" b="1270"/>
          <wp:wrapNone/>
          <wp:docPr id="19" name="Imagen 19" descr="C:\Users\adrian.lavado\Downloads\ESCUDO-BICENTENARIO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C:\Users\adrian.lavado\Downloads\ESCUDO-BICENTENARIO-09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0E6A" w:rsidRDefault="003D0E6A" w:rsidP="003D0E6A">
    <w:pPr>
      <w:rPr>
        <w:rFonts w:ascii="Arial" w:hAnsi="Arial" w:cs="Arial"/>
        <w:b/>
        <w:bCs/>
        <w:sz w:val="14"/>
        <w:szCs w:val="12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62212B9" wp14:editId="24351A0D">
          <wp:simplePos x="0" y="0"/>
          <wp:positionH relativeFrom="margin">
            <wp:posOffset>1920240</wp:posOffset>
          </wp:positionH>
          <wp:positionV relativeFrom="paragraph">
            <wp:posOffset>69215</wp:posOffset>
          </wp:positionV>
          <wp:extent cx="1466850" cy="563880"/>
          <wp:effectExtent l="0" t="0" r="0" b="762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83" t="29178" r="22391" b="37565"/>
                  <a:stretch/>
                </pic:blipFill>
                <pic:spPr bwMode="auto">
                  <a:xfrm>
                    <a:off x="0" y="0"/>
                    <a:ext cx="1466850" cy="563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D0E6A" w:rsidRDefault="003D0E6A" w:rsidP="003D0E6A">
    <w:pPr>
      <w:shd w:val="clear" w:color="auto" w:fill="FFFFFF"/>
      <w:spacing w:line="420" w:lineRule="atLeast"/>
      <w:ind w:left="1416" w:firstLine="708"/>
      <w:textAlignment w:val="baseline"/>
      <w:outlineLvl w:val="1"/>
      <w:rPr>
        <w:rFonts w:ascii="Arial" w:hAnsi="Arial" w:cs="Arial"/>
        <w:b/>
        <w:color w:val="333333"/>
        <w:spacing w:val="3"/>
        <w:sz w:val="16"/>
        <w:szCs w:val="16"/>
        <w:lang w:val="es-ES"/>
      </w:rPr>
    </w:pPr>
  </w:p>
  <w:p w:rsidR="003D0E6A" w:rsidRDefault="003D0E6A" w:rsidP="003D0E6A">
    <w:pPr>
      <w:shd w:val="clear" w:color="auto" w:fill="FFFFFF"/>
      <w:spacing w:line="420" w:lineRule="atLeast"/>
      <w:ind w:left="1416" w:firstLine="708"/>
      <w:textAlignment w:val="baseline"/>
      <w:outlineLvl w:val="1"/>
      <w:rPr>
        <w:rFonts w:ascii="Arial" w:hAnsi="Arial" w:cs="Arial"/>
        <w:b/>
        <w:color w:val="333333"/>
        <w:spacing w:val="3"/>
        <w:sz w:val="16"/>
        <w:szCs w:val="16"/>
        <w:lang w:val="es-ES"/>
      </w:rPr>
    </w:pPr>
  </w:p>
  <w:p w:rsidR="003D0E6A" w:rsidRDefault="003D0E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6A"/>
    <w:rsid w:val="00130FE4"/>
    <w:rsid w:val="003D0E6A"/>
    <w:rsid w:val="00402A14"/>
    <w:rsid w:val="004A08EE"/>
    <w:rsid w:val="005D057A"/>
    <w:rsid w:val="0075474E"/>
    <w:rsid w:val="00C0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3361D"/>
  <w15:chartTrackingRefBased/>
  <w15:docId w15:val="{356E0008-48C0-4DB0-865F-701175E1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E6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0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0E6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D0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E6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melendez@miraflores.gob.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melendez@miraflores.gob.p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aflores.gob.p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se.melendez@miraflores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Cuba Lucio</dc:creator>
  <cp:keywords/>
  <dc:description/>
  <cp:lastModifiedBy>Alberto Cuba Lucio</cp:lastModifiedBy>
  <cp:revision>2</cp:revision>
  <dcterms:created xsi:type="dcterms:W3CDTF">2024-05-24T20:13:00Z</dcterms:created>
  <dcterms:modified xsi:type="dcterms:W3CDTF">2024-05-24T20:20:00Z</dcterms:modified>
</cp:coreProperties>
</file>